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outlineLvl w:val="0"/>
        <w:rPr/>
      </w:pPr>
      <w:r>
        <w:rPr/>
        <w:t xml:space="preserve">SREDNJA ŠKOLA JASTREBARSKO </w:t>
      </w:r>
    </w:p>
    <w:p>
      <w:pPr>
        <w:pStyle w:val="Normal"/>
        <w:rPr/>
      </w:pPr>
      <w:r>
        <w:rPr/>
        <w:t>10 450 JASTREBARSKO</w:t>
      </w:r>
    </w:p>
    <w:p>
      <w:pPr>
        <w:pStyle w:val="Normal"/>
        <w:rPr/>
      </w:pPr>
      <w:r>
        <w:rPr/>
        <w:t xml:space="preserve"> </w:t>
      </w:r>
      <w:r>
        <w:rPr/>
        <w:t>Većeslava Holjevca 11,  p.p.51</w:t>
      </w:r>
    </w:p>
    <w:p>
      <w:pPr>
        <w:pStyle w:val="Normal"/>
        <w:rPr/>
      </w:pPr>
      <w:r>
        <w:rPr/>
        <w:t xml:space="preserve">10 450 Jastrebarsko </w:t>
      </w:r>
    </w:p>
    <w:p>
      <w:pPr>
        <w:pStyle w:val="Normal"/>
        <w:rPr/>
      </w:pPr>
      <w:r>
        <w:rPr/>
        <w:t xml:space="preserve">tel. ( 385 01) 6281-484 </w:t>
      </w:r>
    </w:p>
    <w:p>
      <w:pPr>
        <w:pStyle w:val="Normal"/>
        <w:rPr/>
      </w:pPr>
      <w:r>
        <w:rPr/>
        <w:t xml:space="preserve">fax.                6271-169 </w:t>
      </w:r>
    </w:p>
    <w:p>
      <w:pPr>
        <w:pStyle w:val="Normal"/>
        <w:rPr/>
      </w:pPr>
      <w:r>
        <w:rPr/>
        <w:t xml:space="preserve">e-mail: </w:t>
      </w:r>
      <w:hyperlink r:id="rId2">
        <w:r>
          <w:rPr>
            <w:rStyle w:val="Internetskapoveznica"/>
          </w:rPr>
          <w:t>srednja.skola.jastrebarsko@gmail.com</w:t>
        </w:r>
      </w:hyperlink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OBRAZLOŽENJE POLUGODIŠNJEG IZVJEŠTAJA O IZVRŠENJU FINANCIJSKOG PLANA SREDNJE ŠKOLE JASTREBARSKO ZA RAZDOBLJE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OD 01.01. DO 30.6.2024. GODINE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2"/>
        </w:numPr>
        <w:jc w:val="both"/>
        <w:rPr>
          <w:b/>
          <w:b/>
        </w:rPr>
      </w:pPr>
      <w:r>
        <w:rPr>
          <w:b/>
        </w:rPr>
        <w:t xml:space="preserve">Sažetak djelokruga rada  </w:t>
      </w:r>
    </w:p>
    <w:p>
      <w:pPr>
        <w:pStyle w:val="Normal"/>
        <w:ind w:firstLine="720"/>
        <w:jc w:val="both"/>
        <w:rPr/>
      </w:pPr>
      <w:r>
        <w:rPr/>
        <w:t xml:space="preserve">Srednjoškolsko obrazovanje u Jastrebarskom započinje 1974. godine kada je postojeća Škola radila kao područno odjeljenje Srednjoškolskog centra Samobor, na lokaciji „Centrale“ – Rečka cesta 7, Jastrebarsko. Status samostalne pravne osobe Škola stječe 1978. godine, pod nazivom Centar odgoja i usmjerenog obrazovanja „Braća Kazić“ Jastrebarsko. U novoizgrađenu zgradu u ulici Većeslava Holjevca 11, Škola seli tijekom lipnja 1991. godine i mijenja ime u Srednja škola Jastrebarsko. </w:t>
      </w:r>
    </w:p>
    <w:p>
      <w:pPr>
        <w:pStyle w:val="Normal"/>
        <w:jc w:val="both"/>
        <w:rPr/>
      </w:pPr>
      <w:r>
        <w:rPr/>
        <w:tab/>
        <w:t>Srednja škola Jastrebarsko obrazuje u programu</w:t>
      </w:r>
    </w:p>
    <w:p>
      <w:pPr>
        <w:pStyle w:val="Normal"/>
        <w:jc w:val="both"/>
        <w:rPr/>
      </w:pPr>
      <w:r>
        <w:rPr>
          <w:u w:val="single"/>
        </w:rPr>
        <w:t>Opće gimnazije</w:t>
      </w:r>
      <w:r>
        <w:rPr/>
        <w:t xml:space="preserve"> (4-god.)  i strukovnim obrazovnim sektorima: </w:t>
      </w:r>
    </w:p>
    <w:p>
      <w:pPr>
        <w:pStyle w:val="Normal"/>
        <w:jc w:val="both"/>
        <w:rPr/>
      </w:pPr>
      <w:r>
        <w:rPr>
          <w:u w:val="single"/>
        </w:rPr>
        <w:t>Strojarstvo, brodogradnja i metalurgija</w:t>
      </w:r>
      <w:r>
        <w:rPr/>
        <w:t xml:space="preserve">  za zanimanja(3-god.):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 xml:space="preserve">automehaničar - JMO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vodoinstalater - JMO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 xml:space="preserve">instalater grijanja i klimatizacije - JMO </w:t>
      </w:r>
    </w:p>
    <w:p>
      <w:pPr>
        <w:pStyle w:val="Normal"/>
        <w:jc w:val="both"/>
        <w:rPr/>
      </w:pPr>
      <w:r>
        <w:rPr>
          <w:u w:val="single"/>
        </w:rPr>
        <w:t>Ekonomija, trgovina i poslovna administracija</w:t>
      </w:r>
      <w:r>
        <w:rPr/>
        <w:t xml:space="preserve"> za zanimanja: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 xml:space="preserve">ekonomist(4 god.)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promet i logistika Tehničar za logisiku i špediciju (4-god.)</w:t>
      </w:r>
    </w:p>
    <w:p>
      <w:pPr>
        <w:pStyle w:val="Default"/>
        <w:spacing w:lineRule="auto" w:line="276"/>
        <w:ind w:left="567" w:hanging="0"/>
        <w:jc w:val="both"/>
        <w:rPr/>
      </w:pPr>
      <w:r>
        <w:rPr>
          <w:rFonts w:cs="Times New Roman" w:ascii="Times New Roman" w:hAnsi="Times New Roman"/>
          <w:bCs/>
        </w:rPr>
        <w:t>Kvalitetnim obrazovnim i poticajnim odgojnim nastojanjima temeljenim na vrijednostima, vodimo svakog učenika u osobnom i profesionalnom rastu i razvoju i tako ga pripremamo ne samo za nastavak obrazovanja i/ili tržište rada već i za život. Naša vizija je kvalitetna i suvremena, sigurna i prepoznatljiva, otvorena i poticajna škola koja odgovara na potrebe svih svojih dionika i kontinuirano razvija svoju kulturu.</w:t>
      </w:r>
    </w:p>
    <w:p>
      <w:pPr>
        <w:pStyle w:val="Default"/>
        <w:spacing w:lineRule="auto" w:line="276"/>
        <w:ind w:left="567" w:hanging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Obrazloženje programa rada školske ustanove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>Prioritet škole je kvaliteto obrazovanje i odgoj učenika što ostvarujemo: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Stalnim usavršavanjem nastavnika (seminari,str</w:t>
      </w:r>
      <w:r>
        <w:rPr>
          <w:sz w:val="24"/>
          <w:szCs w:val="24"/>
        </w:rPr>
        <w:t>u</w:t>
      </w:r>
      <w:r>
        <w:rPr>
          <w:sz w:val="24"/>
          <w:szCs w:val="24"/>
        </w:rPr>
        <w:t>čni skupovi,aktivi) i podizanjem nastavnog standarda na višu razinu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Poticanjem učenika na izražavanje kreativnosti, talenata i sposobnosti kroz uključivanje u slobodne aktivnosti, natjecanja te druge školske projekte, priredbe i manifestacije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Organiziranjem zajedničkih aktivnosti i učenika i nastavnika tijekom izvannastavnih aktivnosti i druženja kroz kolekt</w:t>
      </w:r>
      <w:r>
        <w:rPr>
          <w:sz w:val="24"/>
          <w:szCs w:val="24"/>
        </w:rPr>
        <w:t>i</w:t>
      </w:r>
      <w:r>
        <w:rPr>
          <w:sz w:val="24"/>
          <w:szCs w:val="24"/>
        </w:rPr>
        <w:t>vno upoznavanje kulturne i duhovne baštine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3. Zakonske i druge podloge na kojima se zasniva program rada škole</w:t>
      </w:r>
    </w:p>
    <w:p>
      <w:pPr>
        <w:pStyle w:val="ListParagraph"/>
        <w:ind w:left="0" w:hanging="0"/>
        <w:jc w:val="both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ListParagraph"/>
        <w:numPr>
          <w:ilvl w:val="0"/>
          <w:numId w:val="3"/>
        </w:numPr>
        <w:suppressAutoHyphens w:val="true"/>
        <w:jc w:val="both"/>
        <w:rPr/>
      </w:pPr>
      <w:r>
        <w:rPr>
          <w:rFonts w:ascii="Times New Roman" w:hAnsi="Times New Roman"/>
          <w:i/>
        </w:rPr>
        <w:t xml:space="preserve">Zakon o odgoju i obrazovanju u osnovnoj i srednjoj školi, ( </w:t>
      </w:r>
      <w:r>
        <w:rPr>
          <w:rFonts w:ascii="Times New Roman" w:hAnsi="Times New Roman"/>
          <w:i/>
          <w:shd w:fill="FFFFFF" w:val="clear"/>
        </w:rPr>
        <w:t xml:space="preserve">NN br. </w:t>
      </w:r>
      <w:hyperlink r:id="rId3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87/08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4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86/09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5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92/10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6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105/10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7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90/11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8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5/12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9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16/12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10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86/12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11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126/12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12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94/13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13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152/14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14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07/17</w:t>
        </w:r>
      </w:hyperlink>
      <w:r>
        <w:rPr>
          <w:rFonts w:ascii="Times New Roman" w:hAnsi="Times New Roman"/>
          <w:i/>
          <w:shd w:fill="FFFFFF" w:val="clear"/>
        </w:rPr>
        <w:t>,  68/18)</w:t>
      </w:r>
    </w:p>
    <w:p>
      <w:pPr>
        <w:pStyle w:val="ListParagraph"/>
        <w:numPr>
          <w:ilvl w:val="0"/>
          <w:numId w:val="3"/>
        </w:numPr>
        <w:suppressAutoHyphens w:val="true"/>
        <w:jc w:val="both"/>
        <w:rPr/>
      </w:pPr>
      <w:r>
        <w:rPr>
          <w:rFonts w:ascii="Times New Roman" w:hAnsi="Times New Roman"/>
          <w:i/>
        </w:rPr>
        <w:t>Zakon o proračunu (</w:t>
      </w:r>
      <w:r>
        <w:rPr>
          <w:rFonts w:ascii="Times New Roman" w:hAnsi="Times New Roman"/>
          <w:i/>
          <w:shd w:fill="FFFFFF" w:val="clear"/>
        </w:rPr>
        <w:t>NN </w:t>
      </w:r>
      <w:hyperlink r:id="rId15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87/08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16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136/12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17">
        <w:r>
          <w:rPr>
            <w:rStyle w:val="Internetskapoveznica"/>
            <w:rFonts w:ascii="Times New Roman" w:hAnsi="Times New Roman"/>
            <w:bCs/>
            <w:i/>
            <w:color w:val="000000"/>
            <w:highlight w:val="white"/>
          </w:rPr>
          <w:t>15/15</w:t>
        </w:r>
      </w:hyperlink>
      <w:r>
        <w:rPr>
          <w:rFonts w:ascii="Times New Roman" w:hAnsi="Times New Roman"/>
          <w:i/>
        </w:rPr>
        <w:t xml:space="preserve">, 144/21), Pravilnik o proračunskim klasifikacijama (NN br. 26/10 i 120/13.) i Pravilnik o proračunskom računovodstvu i računskom planu (NN br. </w:t>
      </w:r>
      <w:hyperlink r:id="rId18">
        <w:r>
          <w:rPr>
            <w:rStyle w:val="Internetskapoveznica"/>
            <w:rFonts w:ascii="Times New Roman" w:hAnsi="Times New Roman"/>
            <w:i/>
            <w:color w:val="000000"/>
            <w:highlight w:val="white"/>
          </w:rPr>
          <w:t>124/14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19">
        <w:r>
          <w:rPr>
            <w:rStyle w:val="Internetskapoveznica"/>
            <w:rFonts w:ascii="Times New Roman" w:hAnsi="Times New Roman"/>
            <w:i/>
            <w:color w:val="000000"/>
            <w:highlight w:val="white"/>
          </w:rPr>
          <w:t>115/15</w:t>
        </w:r>
      </w:hyperlink>
      <w:r>
        <w:rPr>
          <w:rFonts w:ascii="Times New Roman" w:hAnsi="Times New Roman"/>
          <w:i/>
          <w:shd w:fill="FFFFFF" w:val="clear"/>
        </w:rPr>
        <w:t>, </w:t>
      </w:r>
      <w:hyperlink r:id="rId20">
        <w:r>
          <w:rPr>
            <w:rStyle w:val="Internetskapoveznica"/>
            <w:rFonts w:ascii="Times New Roman" w:hAnsi="Times New Roman"/>
            <w:i/>
            <w:color w:val="000000"/>
            <w:highlight w:val="white"/>
          </w:rPr>
          <w:t>87/16</w:t>
        </w:r>
      </w:hyperlink>
      <w:r>
        <w:rPr>
          <w:rFonts w:ascii="Times New Roman" w:hAnsi="Times New Roman"/>
          <w:i/>
        </w:rPr>
        <w:t xml:space="preserve"> i 3/18, 98/19, 64/20) </w:t>
      </w:r>
    </w:p>
    <w:p>
      <w:pPr>
        <w:pStyle w:val="ListParagraph"/>
        <w:numPr>
          <w:ilvl w:val="0"/>
          <w:numId w:val="3"/>
        </w:numPr>
        <w:suppressAutoHyphens w:val="true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Zakon o lokalnoj i područnoj (regionalnoj) samoupravi</w:t>
      </w:r>
    </w:p>
    <w:p>
      <w:pPr>
        <w:pStyle w:val="ListParagraph"/>
        <w:numPr>
          <w:ilvl w:val="0"/>
          <w:numId w:val="3"/>
        </w:numPr>
        <w:suppressAutoHyphens w:val="true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Uredba o načinu izračuna iznosa pomoći izravnanja za decentralizirane funkcije jedinica lokalne i područne (regionalne) samouprave</w:t>
      </w:r>
    </w:p>
    <w:p>
      <w:pPr>
        <w:pStyle w:val="ListParagraph"/>
        <w:numPr>
          <w:ilvl w:val="0"/>
          <w:numId w:val="3"/>
        </w:numPr>
        <w:suppressAutoHyphens w:val="true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Odluka o kriterijima i mjerilima za utvrđivanje bilančnih prava za financiranje minimalnog financijskog standarda javnih potreba srednjeg školstva</w:t>
      </w:r>
    </w:p>
    <w:p>
      <w:pPr>
        <w:pStyle w:val="ListParagraph"/>
        <w:numPr>
          <w:ilvl w:val="0"/>
          <w:numId w:val="3"/>
        </w:numPr>
        <w:suppressAutoHyphens w:val="true"/>
        <w:jc w:val="both"/>
        <w:rPr/>
      </w:pPr>
      <w:r>
        <w:rPr>
          <w:rFonts w:ascii="Times New Roman" w:hAnsi="Times New Roman"/>
          <w:i/>
        </w:rPr>
        <w:t>Upute za izradu proračuna lokalne (regionalne) samouprave za razdoblje od 2023.-2025.</w:t>
      </w:r>
    </w:p>
    <w:p>
      <w:pPr>
        <w:pStyle w:val="ListParagraph"/>
        <w:jc w:val="both"/>
        <w:rPr/>
      </w:pPr>
      <w:r>
        <w:rPr>
          <w:rFonts w:ascii="Times New Roman" w:hAnsi="Times New Roman"/>
          <w:i/>
        </w:rPr>
        <w:t>Upravnog odjela za prosvjetu kulturu, šport i tehničku kulturu Zagrebačke županije od rujna 2022. godine</w:t>
      </w:r>
    </w:p>
    <w:p>
      <w:pPr>
        <w:pStyle w:val="ListParagraph"/>
        <w:numPr>
          <w:ilvl w:val="0"/>
          <w:numId w:val="3"/>
        </w:numPr>
        <w:suppressAutoHyphens w:val="true"/>
        <w:jc w:val="both"/>
        <w:rPr/>
      </w:pPr>
      <w:r>
        <w:rPr>
          <w:rFonts w:ascii="Times New Roman" w:hAnsi="Times New Roman"/>
          <w:i/>
        </w:rPr>
        <w:t>Godišnji izvedbeni odgojno – obrazovni plan i program rada za školsku godinu 2022./2023. (skraćeno:GPP)</w:t>
      </w:r>
    </w:p>
    <w:p>
      <w:pPr>
        <w:pStyle w:val="ListParagraph"/>
        <w:numPr>
          <w:ilvl w:val="0"/>
          <w:numId w:val="3"/>
        </w:numPr>
        <w:suppressAutoHyphens w:val="true"/>
        <w:jc w:val="both"/>
        <w:rPr/>
      </w:pPr>
      <w:r>
        <w:rPr>
          <w:rFonts w:ascii="Times New Roman" w:hAnsi="Times New Roman"/>
          <w:i/>
        </w:rPr>
        <w:t>Školski kurikulum SŠ Jastrebarsko, nastavne i izvannastavne aktivnosti za školsku godinu 2023./2024.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firstLine="360"/>
        <w:jc w:val="both"/>
        <w:rPr>
          <w:b/>
          <w:b/>
        </w:rPr>
      </w:pPr>
      <w:r>
        <w:rPr>
          <w:b/>
        </w:rPr>
        <w:t>4. Izvori sredstava za financiranje rada škole su: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>
          <w:rFonts w:ascii="Times New Roman" w:hAnsi="Times New Roman"/>
        </w:rPr>
        <w:t>Opći prihodi i primici, skupina 671, regionalni proračun za materijalne troškove poslovanja te održavanje i obnovu nefinancijske imovine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Pomoći, skupina 636, državni proračun za financiranje rada zaposlenih radnika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Pomoći, skupina 636, Grad Jastrebarsko za provedbu dodatnih aktivnosti škole prema Planu i programu rada te obnovu nefinancijske imovine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/>
      </w:pPr>
      <w:r>
        <w:rPr>
          <w:rFonts w:ascii="Times New Roman" w:hAnsi="Times New Roman"/>
        </w:rPr>
        <w:t xml:space="preserve">Vlastiti prihodi od iznajmljivanja prostora, skupina 661, za provedbu dodatnih aktivnosti škole prema Planu i programu rada te obnovu nefinancijske imovine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Donacije</w:t>
      </w:r>
      <w:r>
        <w:rPr>
          <w:rFonts w:ascii="Times New Roman" w:hAnsi="Times New Roman"/>
          <w:lang w:eastAsia="hr-HR"/>
        </w:rPr>
        <w:t xml:space="preserve"> – sredstva županijskog školskog sportskog kluba za održavanje sportskih natjecanja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r-HR"/>
        </w:rPr>
        <w:t>Pomoći temeljem prijenosa EU sredstava za financiranje EU projekata</w:t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787"/>
        <w:gridCol w:w="753"/>
        <w:gridCol w:w="1"/>
        <w:gridCol w:w="271"/>
        <w:gridCol w:w="1"/>
        <w:gridCol w:w="1"/>
        <w:gridCol w:w="1289"/>
        <w:gridCol w:w="1"/>
        <w:gridCol w:w="1"/>
        <w:gridCol w:w="1896"/>
        <w:gridCol w:w="1"/>
        <w:gridCol w:w="1366"/>
        <w:gridCol w:w="1"/>
        <w:gridCol w:w="1"/>
        <w:gridCol w:w="1042"/>
        <w:gridCol w:w="1"/>
        <w:gridCol w:w="1"/>
        <w:gridCol w:w="2"/>
        <w:gridCol w:w="1040"/>
      </w:tblGrid>
      <w:tr>
        <w:trPr>
          <w:trHeight w:val="360" w:hRule="atLeast"/>
        </w:trPr>
        <w:tc>
          <w:tcPr>
            <w:tcW w:w="8259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  <w:t>5.Opći dio Izvršenje prihoda i rashoda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  <w:t>OPĆI DIO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  <w:t>SAŽETAK RAČUNA PRIHODA I RASHODA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0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60" w:hRule="atLeast"/>
        </w:trPr>
        <w:tc>
          <w:tcPr>
            <w:tcW w:w="8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7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7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7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291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4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832" w:hRule="atLeast"/>
        </w:trPr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Izvršenje 1.1-30.6.2024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 xml:space="preserve">Izvorni Plan/2024. </w:t>
            </w:r>
          </w:p>
        </w:tc>
        <w:tc>
          <w:tcPr>
            <w:tcW w:w="13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 xml:space="preserve">Ostvarenje   izvšenja        1.1.-30.6.2024                      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en-US"/>
              </w:rPr>
              <w:t xml:space="preserve">INDEKS  6=5/2*100                  6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en-US"/>
              </w:rPr>
              <w:t>INDEKS  7=5/4*100                 7</w:t>
            </w:r>
          </w:p>
        </w:tc>
      </w:tr>
      <w:tr>
        <w:trPr>
          <w:trHeight w:val="300" w:hRule="atLeast"/>
        </w:trPr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DDEBF7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/>
              </w:rPr>
              <w:t>PRIHODI UKUPNO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604.238,01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1.264.900,11</w:t>
            </w:r>
          </w:p>
        </w:tc>
        <w:tc>
          <w:tcPr>
            <w:tcW w:w="13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821.958,69</w:t>
            </w:r>
          </w:p>
        </w:tc>
        <w:tc>
          <w:tcPr>
            <w:tcW w:w="10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64</w:t>
            </w:r>
          </w:p>
        </w:tc>
      </w:tr>
      <w:tr>
        <w:trPr>
          <w:trHeight w:val="600" w:hRule="atLeast"/>
        </w:trPr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/>
              </w:rPr>
              <w:t>PRIHODI POSLOVANJA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604238,01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1.264.900,11</w:t>
            </w:r>
          </w:p>
        </w:tc>
        <w:tc>
          <w:tcPr>
            <w:tcW w:w="13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821.958,69</w:t>
            </w:r>
          </w:p>
        </w:tc>
        <w:tc>
          <w:tcPr>
            <w:tcW w:w="10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/>
              </w:rPr>
              <w:t>PRIHODI OD PRODAJE NEFINANCIJSKE IMOVINE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>
        <w:trPr>
          <w:trHeight w:val="531" w:hRule="atLeast"/>
        </w:trPr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DDEBF7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/>
              </w:rPr>
              <w:t>RASHODI UKUPNO</w:t>
            </w:r>
          </w:p>
        </w:tc>
        <w:tc>
          <w:tcPr>
            <w:tcW w:w="272" w:type="dxa"/>
            <w:gridSpan w:val="2"/>
            <w:tcBorders>
              <w:bottom w:val="single" w:sz="4" w:space="0" w:color="000000"/>
            </w:tcBorders>
            <w:shd w:color="000000" w:fill="DDEBF7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617.632,93</w:t>
            </w:r>
          </w:p>
        </w:tc>
        <w:tc>
          <w:tcPr>
            <w:tcW w:w="18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1.264.900,11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798.358,03</w:t>
            </w:r>
          </w:p>
        </w:tc>
        <w:tc>
          <w:tcPr>
            <w:tcW w:w="10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0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63</w:t>
            </w:r>
          </w:p>
        </w:tc>
      </w:tr>
      <w:tr>
        <w:trPr>
          <w:trHeight w:val="390" w:hRule="atLeast"/>
        </w:trPr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/>
              </w:rPr>
              <w:t>RASHODI  POSLOVANJA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617.632,93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1.252.435,11</w:t>
            </w:r>
          </w:p>
        </w:tc>
        <w:tc>
          <w:tcPr>
            <w:tcW w:w="13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795.091,35</w:t>
            </w:r>
          </w:p>
        </w:tc>
        <w:tc>
          <w:tcPr>
            <w:tcW w:w="10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/>
              </w:rPr>
              <w:t>RASHODI ZA NABAVU NEFINANCIJSKE IMOVINE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12465,00</w:t>
            </w:r>
          </w:p>
        </w:tc>
        <w:tc>
          <w:tcPr>
            <w:tcW w:w="13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3.266,68</w:t>
            </w:r>
          </w:p>
        </w:tc>
        <w:tc>
          <w:tcPr>
            <w:tcW w:w="10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DDEBF7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/>
              </w:rPr>
              <w:t>RAZLIKA - VIŠAK / MANJAK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-13.394,92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23.600,66</w:t>
            </w:r>
          </w:p>
        </w:tc>
        <w:tc>
          <w:tcPr>
            <w:tcW w:w="10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5.1. Izvršenje prihoda </w:t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PRIHODI POSLOVANJA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Ukupni prihodi Srednje škole Jastrebarsko u razdoblju 01.01.-30.06.2024. godine iznose 821.958,69 € što čini 64% ukupno planiranih prihoda za 2024. godinu što čini porast za 36% u odnosu na isto razdoblje prošle godine a sastoji se od</w:t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suppressAutoHyphens w:val="true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1.1. Opći prihodi i primici</w:t>
      </w:r>
      <w:r>
        <w:rPr>
          <w:rFonts w:cs="Times New Roman" w:ascii="Times New Roman" w:hAnsi="Times New Roman"/>
          <w:sz w:val="24"/>
          <w:szCs w:val="24"/>
        </w:rPr>
        <w:t xml:space="preserve"> – obuhvaćaju prihode iz nadležnog proračuna za financiranje minimalnog i pojačanog standarda u srednjem školstvu;  76.251,49 €, realizirano 65% od planiranih prihoda za 2024.godinu </w:t>
      </w:r>
    </w:p>
    <w:p>
      <w:pPr>
        <w:pStyle w:val="Normal"/>
        <w:numPr>
          <w:ilvl w:val="0"/>
          <w:numId w:val="4"/>
        </w:numPr>
        <w:suppressAutoHyphens w:val="true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3.4. Vlastiti prihodi</w:t>
      </w:r>
      <w:r>
        <w:rPr>
          <w:rFonts w:cs="Times New Roman" w:ascii="Times New Roman" w:hAnsi="Times New Roman"/>
          <w:sz w:val="24"/>
          <w:szCs w:val="24"/>
        </w:rPr>
        <w:t xml:space="preserve"> – obuhvaćaju prihode od najma prostora, duplikata svjedodžbi realizacija 29.489,60 €  realizirano 65% od planiranih prihoda za 2024.godinu </w:t>
      </w:r>
    </w:p>
    <w:p>
      <w:pPr>
        <w:pStyle w:val="Normal"/>
        <w:numPr>
          <w:ilvl w:val="0"/>
          <w:numId w:val="4"/>
        </w:numPr>
        <w:suppressAutoHyphens w:val="true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5.L. Pomoći </w:t>
      </w:r>
      <w:r>
        <w:rPr>
          <w:rFonts w:cs="Times New Roman" w:ascii="Times New Roman" w:hAnsi="Times New Roman"/>
          <w:sz w:val="24"/>
          <w:szCs w:val="24"/>
        </w:rPr>
        <w:t>– obuhvaćaju prihode resornog ministarstva za financiranje rada zaposlenih, financiranje određenih projekata i aktivnosti. Uključuju i pomoći grada Jastrebarsko za nabavu nefinancijske imovine, tekuće i investicijsko održavanje te financiranje projekata i aktivnosti. 659.614,07€, realizirano 63% od planiranih prihoda za 2024.godinu</w:t>
      </w:r>
    </w:p>
    <w:p>
      <w:pPr>
        <w:pStyle w:val="Normal"/>
        <w:numPr>
          <w:ilvl w:val="0"/>
          <w:numId w:val="4"/>
        </w:numPr>
        <w:suppressAutoHyphens w:val="true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5.L. Pomoći </w:t>
      </w:r>
      <w:r>
        <w:rPr>
          <w:rFonts w:cs="Times New Roman" w:ascii="Times New Roman" w:hAnsi="Times New Roman"/>
          <w:sz w:val="24"/>
          <w:szCs w:val="24"/>
        </w:rPr>
        <w:t>– obuhvaća prihode za posebne namjene prijenosi sredstava između proračunskih korisnika 1.216,53€</w:t>
      </w:r>
    </w:p>
    <w:p>
      <w:pPr>
        <w:pStyle w:val="Normal"/>
        <w:numPr>
          <w:ilvl w:val="0"/>
          <w:numId w:val="4"/>
        </w:numPr>
        <w:suppressAutoHyphens w:val="true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5.S. Pomoći</w:t>
      </w:r>
      <w:r>
        <w:rPr>
          <w:rFonts w:cs="Times New Roman" w:ascii="Times New Roman" w:hAnsi="Times New Roman"/>
          <w:sz w:val="24"/>
          <w:szCs w:val="24"/>
        </w:rPr>
        <w:t xml:space="preserve"> – obuhvaćaju prihode od pomoći temeljem prijenosa EU sredstava za financiranje EU projekata 52.227,00 € realizirano 190% od planiranih prihoda za 2024.godinu</w:t>
      </w:r>
    </w:p>
    <w:p>
      <w:pPr>
        <w:pStyle w:val="Normal"/>
        <w:numPr>
          <w:ilvl w:val="0"/>
          <w:numId w:val="4"/>
        </w:numPr>
        <w:suppressAutoHyphens w:val="true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6.4. Donacije</w:t>
      </w:r>
      <w:r>
        <w:rPr>
          <w:rFonts w:cs="Times New Roman" w:ascii="Times New Roman" w:hAnsi="Times New Roman"/>
          <w:sz w:val="24"/>
          <w:szCs w:val="24"/>
        </w:rPr>
        <w:t xml:space="preserve"> – obuhvaćaju prihode od županijskog školskog sportskog saveza za financiranje sportskih natjecanja i nabavu sportske opreme  realizacija 3.160,€ realizirano 120% od planiranih prihoda za 2024.godinu</w:t>
      </w:r>
    </w:p>
    <w:p>
      <w:pPr>
        <w:pStyle w:val="Normal"/>
        <w:suppressAutoHyphens w:val="true"/>
        <w:ind w:left="142" w:hanging="0"/>
        <w:jc w:val="both"/>
        <w:rPr/>
      </w:pPr>
      <w:r>
        <w:rPr/>
      </w:r>
    </w:p>
    <w:p>
      <w:pPr>
        <w:pStyle w:val="Normal"/>
        <w:ind w:left="7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5.2.Izvršenje rashoda</w:t>
      </w:r>
    </w:p>
    <w:p>
      <w:pPr>
        <w:pStyle w:val="Normal"/>
        <w:numPr>
          <w:ilvl w:val="0"/>
          <w:numId w:val="5"/>
        </w:numPr>
        <w:suppressAutoHyphens w:val="true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RASHODI POSLOVANJA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Ukupni rashodi Srednje škole Jastrebarsko u razdoblju 01.01.-30.06.2024. godine iznose 798.358,03 € što čini 63% ukupno planiranih prihoda za 2024. Godinu što čini porast za 29% u odnosu na isto razdoblje prošle godine. </w:t>
      </w:r>
      <w:r>
        <w:rPr>
          <w:rFonts w:cs="Times New Roman" w:ascii="Times New Roman" w:hAnsi="Times New Roman"/>
          <w:sz w:val="24"/>
          <w:szCs w:val="24"/>
        </w:rPr>
        <w:t>Rashodi poslovanja Srednje škole Jastrebarsko sastoje se od sljedećih skupina: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31 Rashodi za zaposlene</w:t>
      </w:r>
      <w:r>
        <w:rPr>
          <w:rFonts w:cs="Times New Roman" w:ascii="Times New Roman" w:hAnsi="Times New Roman"/>
          <w:sz w:val="24"/>
          <w:szCs w:val="24"/>
        </w:rPr>
        <w:t xml:space="preserve"> – obuhvaćaju rashode za plaće zaposlenika te ostale rashode za zaposlene (regres, božićnica, pomoći, jubilarne nagrade); 670.651,06 €, realizirano 65% od planiranih prihoda za 2024.godinu.</w:t>
      </w:r>
    </w:p>
    <w:p>
      <w:pPr>
        <w:pStyle w:val="Normal"/>
        <w:suppressAutoHyphens w:val="true"/>
        <w:ind w:left="284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32 Materijalni rashodi </w:t>
      </w:r>
      <w:r>
        <w:rPr>
          <w:rFonts w:cs="Times New Roman" w:ascii="Times New Roman" w:hAnsi="Times New Roman"/>
          <w:sz w:val="24"/>
          <w:szCs w:val="24"/>
        </w:rPr>
        <w:t>– obuhvaćaju rashode za naknade troškovima zaposlenima (službena putovanja, naknade za prijevoz, stručno usavršavanje), rashode za materijal i energiju (uredski materijal, literatura, materijal i sredstva za čišćenje i higijenske potrebe, namirnice za nastavu, energenti, materijal i dijelovi za tekuće i investicijsko održavanje), rashode za usluge (usluge telefona, poštarina, usluge tekućeg i investicijskog održavanja, komunalne usluge, sistematski pregledi zaposlenika, intelektualne usluge, računalne usluge, ostale usluge), ostale nespomenute rashode poslovanja (premije osiguranja, pristojbe, novčane naknade zbog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naknade zbog nezapošljavanja osoba s invaliditetom, troškovi natjecanja, troškovi Erazmusa, troškovi stručnih vijeća </w:t>
      </w:r>
      <w:r>
        <w:rPr/>
        <w:t xml:space="preserve">evidentirani rashodi  u iznosu od   122.766,23 € </w:t>
      </w:r>
      <w:r>
        <w:rPr>
          <w:rFonts w:cs="Times New Roman" w:ascii="Times New Roman" w:hAnsi="Times New Roman"/>
          <w:sz w:val="24"/>
          <w:szCs w:val="24"/>
        </w:rPr>
        <w:t>realizirano 79% od planiranih prihoda za 2024.godinu</w:t>
      </w:r>
      <w:r>
        <w:rPr/>
        <w:t xml:space="preserve"> 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Naknade troškova zaposlenima (službena putovanja, prijevoz na posao i s posla, stručna usavršavanja u iznosu 55.410,84 €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/>
        <w:t>Rashodi za materijal i energiju 32.089,19 €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/>
        <w:t>Rashodi za usluge  (usluge telefona, interneta, komunalne usluge, najam opreme, računalne i ostale usluge 24.173,51 €</w:t>
      </w:r>
    </w:p>
    <w:p>
      <w:pPr>
        <w:pStyle w:val="Normal"/>
        <w:ind w:left="720" w:hanging="0"/>
        <w:rPr/>
      </w:pPr>
      <w:r>
        <w:rPr/>
        <w:t>Ostali nespomenuti rashodi  (županijska stručna vijeća, Erasmus-ekonomisti, Multifunkcionalni projekt „Bežmo van“ te troškovi natjecanja) 11.092,69 €</w:t>
      </w:r>
    </w:p>
    <w:p>
      <w:pPr>
        <w:pStyle w:val="Normal"/>
        <w:ind w:left="720" w:hanging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6"/>
        </w:numPr>
        <w:suppressAutoHyphens w:val="true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obuhvaćaju rashode za naknade troškovima zaposlenima (službena putovanja, naknade za prijevoz, stručno usavršavanje), rashode za materijal i energiju (uredski materijal, literatura, materijal i sredstva za čišćenje i higijenske potrebe, namirnice za nastavu, energenti, materijal i dijelovi za tekuće i investicijsko održavanje), rashode za usluge (usluge telefona, poštarina, usluge tekućeg i investicijskog održavanja, komunalne usluge, sistematski pregledi zaposlenika, intelektualne usluge, računalne usluge, ostale usluge), ostale nespomenute rashode poslovanja (premije osiguranja, pristojbe, novčane naknade zbog nezapošljavanja osoba s invaliditetom, troškovi natjecanja, troškovi Erazmusa, troškovi stručnih vijeća</w:t>
      </w:r>
    </w:p>
    <w:p>
      <w:pPr>
        <w:pStyle w:val="Normal"/>
        <w:suppressAutoHyphens w:val="true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numPr>
          <w:ilvl w:val="0"/>
          <w:numId w:val="6"/>
        </w:numPr>
        <w:suppressAutoHyphens w:val="true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34 Financijski rashodi </w:t>
      </w:r>
      <w:r>
        <w:rPr>
          <w:rFonts w:cs="Times New Roman" w:ascii="Times New Roman" w:hAnsi="Times New Roman"/>
          <w:sz w:val="24"/>
          <w:szCs w:val="24"/>
        </w:rPr>
        <w:t>– obuhvaćaju rashode za bankarske usluge i usluge platnog prometa realizacija 498,03.</w:t>
      </w:r>
    </w:p>
    <w:p>
      <w:pPr>
        <w:pStyle w:val="Normal"/>
        <w:numPr>
          <w:ilvl w:val="0"/>
          <w:numId w:val="6"/>
        </w:numPr>
        <w:suppressAutoHyphens w:val="true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 w:val="24"/>
          <w:szCs w:val="24"/>
        </w:rPr>
        <w:t>36 Pomoći dane u inozemstvo i unutar općeg proračuna</w:t>
      </w:r>
      <w:r>
        <w:rPr>
          <w:rFonts w:cs="Times New Roman" w:ascii="Times New Roman" w:hAnsi="Times New Roman"/>
          <w:i/>
          <w:sz w:val="24"/>
          <w:szCs w:val="24"/>
        </w:rPr>
        <w:t>- obuhvaća prinose između</w:t>
      </w:r>
      <w:r>
        <w:rPr>
          <w:rFonts w:cs="Times New Roman" w:ascii="Times New Roman" w:hAnsi="Times New Roman"/>
          <w:sz w:val="24"/>
          <w:szCs w:val="24"/>
        </w:rPr>
        <w:t xml:space="preserve">   proračunskih korisnika istog proračuna, realizirano 274,60 €</w:t>
      </w:r>
      <w:r>
        <w:rPr>
          <w:rFonts w:cs="Times New Roman" w:ascii="Times New Roman" w:hAnsi="Times New Roman"/>
          <w:i/>
          <w:sz w:val="24"/>
          <w:szCs w:val="24"/>
        </w:rPr>
        <w:t xml:space="preserve">        </w:t>
      </w:r>
    </w:p>
    <w:p>
      <w:pPr>
        <w:pStyle w:val="Normal"/>
        <w:numPr>
          <w:ilvl w:val="0"/>
          <w:numId w:val="4"/>
        </w:numPr>
        <w:suppressAutoHyphens w:val="true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 w:val="24"/>
          <w:szCs w:val="24"/>
        </w:rPr>
        <w:t>42 Rashodi za nabavu proizvedene dugotrajne imovine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b/>
        </w:rPr>
        <w:t xml:space="preserve">: </w:t>
      </w:r>
      <w:r>
        <w:rPr/>
        <w:t xml:space="preserve">evidentirani rashodi za nabavu nefinancijske imovine u iznosu od 3.266,68 € </w:t>
      </w:r>
      <w:r>
        <w:rPr>
          <w:rFonts w:cs="Times New Roman" w:ascii="Times New Roman" w:hAnsi="Times New Roman"/>
          <w:sz w:val="24"/>
          <w:szCs w:val="24"/>
        </w:rPr>
        <w:t>realizirano 66% od planiranih prihoda za 2024.godinu</w:t>
      </w:r>
    </w:p>
    <w:p>
      <w:pPr>
        <w:pStyle w:val="Normal"/>
        <w:ind w:left="993" w:hanging="993"/>
        <w:jc w:val="both"/>
        <w:rPr/>
      </w:pPr>
      <w:r>
        <w:rPr/>
        <w:t xml:space="preserve">              </w:t>
      </w:r>
      <w:r>
        <w:rPr/>
        <w:t>Uredska oprema i namještaj   2.343,80 €</w:t>
      </w:r>
    </w:p>
    <w:p>
      <w:pPr>
        <w:pStyle w:val="Normal"/>
        <w:ind w:left="993" w:hanging="993"/>
        <w:jc w:val="both"/>
        <w:rPr/>
      </w:pPr>
      <w:r>
        <w:rPr/>
        <w:t xml:space="preserve">               </w:t>
      </w:r>
      <w:r>
        <w:rPr/>
        <w:t>Knjige                                              922,88 €</w:t>
      </w:r>
    </w:p>
    <w:p>
      <w:pPr>
        <w:pStyle w:val="Normal"/>
        <w:ind w:left="993" w:hanging="993"/>
        <w:jc w:val="both"/>
        <w:rPr/>
      </w:pPr>
      <w:r>
        <w:rPr/>
      </w:r>
    </w:p>
    <w:p>
      <w:pPr>
        <w:pStyle w:val="Normal"/>
        <w:ind w:left="7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6.Rezultat poslovanja</w:t>
      </w:r>
    </w:p>
    <w:p>
      <w:pPr>
        <w:pStyle w:val="Normal"/>
        <w:ind w:left="7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21"/>
        </w:numPr>
        <w:spacing w:lineRule="auto" w:line="240" w:before="0" w:after="0"/>
        <w:rPr/>
      </w:pPr>
      <w:r>
        <w:rPr>
          <w:b/>
        </w:rPr>
        <w:t>OBRAZLOŽENJE</w:t>
      </w:r>
    </w:p>
    <w:p>
      <w:pPr>
        <w:pStyle w:val="Normal"/>
        <w:ind w:left="420" w:hanging="0"/>
        <w:rPr>
          <w:b/>
          <w:b/>
        </w:rPr>
      </w:pPr>
      <w:r>
        <w:rPr>
          <w:b/>
        </w:rPr>
      </w:r>
    </w:p>
    <w:p>
      <w:pPr>
        <w:pStyle w:val="Normal"/>
        <w:ind w:left="420" w:hanging="0"/>
        <w:rPr/>
      </w:pPr>
      <w:r>
        <w:rPr/>
        <w:t>S danom 30.6.2024. u poslovnim knjigama i predanom godišnjem financijskom izvještaju utvrđen je višak prihoda poslovanja u  iznosu od 23.600,66 €, preneseni višak prethodne godine iznosi  38.311,96 €, što iznosi višak prihoda raspoloživ u sljedećem razdoblju   61.912,62 €</w:t>
      </w:r>
    </w:p>
    <w:p>
      <w:pPr>
        <w:pStyle w:val="Normal"/>
        <w:ind w:left="420" w:hanging="0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360" w:hanging="0"/>
        <w:rPr/>
      </w:pPr>
      <w:r>
        <w:rPr/>
      </w:r>
    </w:p>
    <w:tbl>
      <w:tblPr>
        <w:tblW w:w="8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25"/>
        <w:gridCol w:w="235"/>
        <w:gridCol w:w="2744"/>
        <w:gridCol w:w="1445"/>
      </w:tblGrid>
      <w:tr>
        <w:trPr>
          <w:trHeight w:val="675" w:hRule="atLeast"/>
        </w:trPr>
        <w:tc>
          <w:tcPr>
            <w:tcW w:w="442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lang w:eastAsia="zh-CN"/>
              </w:rPr>
              <w:t xml:space="preserve">Rezultat poslovanja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</w:r>
          </w:p>
        </w:tc>
        <w:tc>
          <w:tcPr>
            <w:tcW w:w="4424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</w:r>
          </w:p>
        </w:tc>
      </w:tr>
      <w:tr>
        <w:trPr>
          <w:trHeight w:val="412" w:hRule="atLeast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  <w:t xml:space="preserve">UKUPNI PRIHODI 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</w:r>
          </w:p>
        </w:tc>
        <w:tc>
          <w:tcPr>
            <w:tcW w:w="2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  <w:t>821.958,69 €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  <w:t xml:space="preserve">UKUPNI RASHODI 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</w:r>
          </w:p>
        </w:tc>
        <w:tc>
          <w:tcPr>
            <w:tcW w:w="2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  <w:t>795.091,35 €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  <w:t>VIŠAK/</w:t>
            </w:r>
            <w:r>
              <w:rPr>
                <w:rFonts w:eastAsia="Calibri" w:cs="Calibri"/>
                <w:color w:val="000000"/>
                <w:lang w:eastAsia="zh-CN"/>
              </w:rPr>
              <w:t>MANJAK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</w:r>
          </w:p>
        </w:tc>
        <w:tc>
          <w:tcPr>
            <w:tcW w:w="2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  <w:t xml:space="preserve">  </w:t>
            </w:r>
            <w:r>
              <w:rPr>
                <w:rFonts w:eastAsia="Calibri" w:cs="Calibri"/>
                <w:b/>
                <w:color w:val="000000"/>
                <w:lang w:eastAsia="zh-CN"/>
              </w:rPr>
              <w:t>23.600,66 €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  <w:t xml:space="preserve">PRENESENI VIŠAK 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color w:val="000000"/>
                <w:lang w:eastAsia="zh-CN"/>
              </w:rPr>
              <w:t xml:space="preserve">  </w:t>
            </w:r>
            <w:r>
              <w:rPr>
                <w:rFonts w:eastAsia="Calibri" w:cs="Calibri"/>
                <w:b/>
                <w:color w:val="000000"/>
                <w:lang w:eastAsia="zh-CN"/>
              </w:rPr>
              <w:t>38.311,96 €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4" w:hRule="atLeast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  <w:t xml:space="preserve">VIŠAK PRIHODA RASPOLOŽIV U SLJEDEĆEM RAZDOBLJU 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000000"/>
                <w:lang w:eastAsia="zh-CN"/>
              </w:rPr>
            </w:pPr>
            <w:r>
              <w:rPr>
                <w:rFonts w:eastAsia="Calibri" w:cs="Calibri"/>
                <w:color w:val="000000"/>
                <w:lang w:eastAsia="zh-CN"/>
              </w:rPr>
            </w:r>
          </w:p>
        </w:tc>
        <w:tc>
          <w:tcPr>
            <w:tcW w:w="2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lang w:eastAsia="zh-CN"/>
              </w:rPr>
            </w:pPr>
            <w:r>
              <w:rPr>
                <w:rFonts w:eastAsia="Calibri" w:cs="Calibri"/>
                <w:b/>
                <w:bCs/>
                <w:color w:val="000000"/>
                <w:lang w:eastAsia="zh-CN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lang w:eastAsia="zh-CN"/>
              </w:rPr>
              <w:t>61.912,62 €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0" w:hanging="0"/>
        <w:rPr>
          <w:b/>
          <w:b/>
        </w:rPr>
      </w:pPr>
      <w:r>
        <w:rPr>
          <w:b/>
        </w:rPr>
        <w:t>PREGLED POSLOVANJA PO IZVORIMA FINANCIRANJA</w:t>
      </w:r>
    </w:p>
    <w:tbl>
      <w:tblPr>
        <w:tblW w:w="9122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1368"/>
        <w:gridCol w:w="1324"/>
        <w:gridCol w:w="1478"/>
        <w:gridCol w:w="1768"/>
        <w:gridCol w:w="1482"/>
      </w:tblGrid>
      <w:tr>
        <w:trPr>
          <w:trHeight w:val="1200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IZVOR  FINANCIRANJA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VIŠAK PRED.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8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</w:t>
            </w:r>
          </w:p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2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</w:t>
            </w:r>
          </w:p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VIŠAK</w:t>
            </w:r>
          </w:p>
          <w:p>
            <w:pPr>
              <w:pStyle w:val="Normal"/>
              <w:spacing w:before="0" w:after="200"/>
              <w:ind w:left="14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MANJAK        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4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ind w:left="14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VIŠAK</w:t>
            </w:r>
          </w:p>
        </w:tc>
      </w:tr>
      <w:tr>
        <w:trPr>
          <w:trHeight w:val="581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ZAGREBAČKA ŽUPANIJA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77.468,02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76.469,02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309" w:firstLine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999,00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14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999,00</w:t>
            </w:r>
          </w:p>
        </w:tc>
      </w:tr>
      <w:tr>
        <w:trPr>
          <w:trHeight w:val="57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3.4.VLASTITI PRIHODI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10.959,35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29.489,60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27.361,44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2.128,16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13.087,51 </w:t>
            </w:r>
          </w:p>
        </w:tc>
      </w:tr>
      <w:tr>
        <w:trPr>
          <w:trHeight w:val="46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5.Ć. POMOĆI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4.564,38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4.564,38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03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L. POMOĆI SŠ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1.550,26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655.049,69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656.332,57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-1.282,88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267,38</w:t>
            </w: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5.S. EU POMOĆI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25.282,23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52.227,00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29.950,50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22.276,50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47.558,73</w:t>
            </w:r>
          </w:p>
        </w:tc>
      </w:tr>
      <w:tr>
        <w:trPr>
          <w:trHeight w:val="300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 DONACIJE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520,12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3.160,00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3.680,12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-520,12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38.311,96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821.958,69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798.358,03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23.600,66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61.912,62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2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9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20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4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7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ind w:left="360" w:hanging="0"/>
        <w:rPr/>
      </w:pPr>
      <w:r>
        <w:rPr/>
        <w:t xml:space="preserve">  </w:t>
      </w:r>
    </w:p>
    <w:p>
      <w:pPr>
        <w:pStyle w:val="Normal"/>
        <w:ind w:left="420" w:hanging="0"/>
        <w:rPr/>
      </w:pPr>
      <w:r>
        <w:rPr/>
      </w:r>
    </w:p>
    <w:p>
      <w:pPr>
        <w:pStyle w:val="Normal"/>
        <w:ind w:left="420" w:hanging="0"/>
        <w:rPr/>
      </w:pPr>
      <w:r>
        <w:rPr/>
      </w:r>
    </w:p>
    <w:p>
      <w:pPr>
        <w:pStyle w:val="Normal"/>
        <w:ind w:left="420" w:hanging="0"/>
        <w:rPr/>
      </w:pPr>
      <w:r>
        <w:rPr/>
      </w:r>
    </w:p>
    <w:p>
      <w:pPr>
        <w:pStyle w:val="Normal"/>
        <w:ind w:left="420" w:hanging="0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III. IZVRŠENJE POSEBNOG DIJELA FINANCIJSKOG PLANA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Rashodi prema ekonomskoj klasifikaciji, izvorima financiranja, pojedinim programima, aktivnostima i projektima utvrđeni su u posebnom dijelu financijskog plana.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FINANCIJSKI PLAN ZA 2024. 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18"/>
          <w:szCs w:val="24"/>
        </w:rPr>
        <w:t>EUR</w:t>
      </w:r>
    </w:p>
    <w:tbl>
      <w:tblPr>
        <w:tblW w:w="9310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4"/>
        <w:gridCol w:w="2194"/>
        <w:gridCol w:w="2454"/>
        <w:gridCol w:w="2207"/>
      </w:tblGrid>
      <w:tr>
        <w:trPr>
          <w:trHeight w:val="457" w:hRule="atLeast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Naziv škole: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Srednja škola Jastrebarsko</w:t>
            </w:r>
          </w:p>
        </w:tc>
      </w:tr>
      <w:tr>
        <w:trPr>
          <w:trHeight w:val="731" w:hRule="atLeast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Izvršenje 1.1.-30.06.2024.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Indeks</w:t>
            </w:r>
          </w:p>
        </w:tc>
      </w:tr>
      <w:tr>
        <w:trPr>
          <w:trHeight w:val="483" w:hRule="atLeast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1.264.900,11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798.358,03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63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NAZIV PROGRAMA</w:t>
      </w:r>
    </w:p>
    <w:p>
      <w:pPr>
        <w:pStyle w:val="Normal"/>
        <w:numPr>
          <w:ilvl w:val="0"/>
          <w:numId w:val="8"/>
        </w:numPr>
        <w:suppressAutoHyphens w:val="true"/>
        <w:jc w:val="both"/>
        <w:rPr/>
      </w:pP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</w:rPr>
        <w:t>MINIMALNI STANDARD U SREDNJEM ŠKOLSTVU I UČENIČKOM DOMU– MATERIJALNI I FINANCIJSKI RASHODI – 1003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MJERA IZ PLANA RAZVOJA ZAGREBAČKE ŽUPANIJE ZA PERIOD 2021. -2027.</w:t>
      </w:r>
    </w:p>
    <w:p>
      <w:pPr>
        <w:pStyle w:val="Normal"/>
        <w:numPr>
          <w:ilvl w:val="0"/>
          <w:numId w:val="9"/>
        </w:numPr>
        <w:suppressAutoHyphens w:val="true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Mjera 4.3. – Unaprjeđenje odgojno – obrazovnih usluga</w:t>
      </w:r>
    </w:p>
    <w:p>
      <w:pPr>
        <w:pStyle w:val="Normal"/>
        <w:ind w:left="8496" w:hanging="0"/>
        <w:jc w:val="both"/>
        <w:rPr>
          <w:rFonts w:ascii="Times New Roman" w:hAnsi="Times New Roman" w:cs="Times New Roman"/>
          <w:b/>
          <w:b/>
          <w:sz w:val="18"/>
          <w:szCs w:val="24"/>
        </w:rPr>
      </w:pPr>
      <w:r>
        <w:rPr>
          <w:rFonts w:cs="Times New Roman" w:ascii="Times New Roman" w:hAnsi="Times New Roman"/>
          <w:b/>
          <w:sz w:val="18"/>
          <w:szCs w:val="24"/>
        </w:rPr>
        <w:t>EUR</w:t>
      </w:r>
    </w:p>
    <w:tbl>
      <w:tblPr>
        <w:tblW w:w="90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3259"/>
        <w:gridCol w:w="1417"/>
        <w:gridCol w:w="1417"/>
        <w:gridCol w:w="1429"/>
      </w:tblGrid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OZNAKA PROGRAMA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NAZIV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Financijski plan 2024.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Izvršenje 1.1.-30.06.2024.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Indeks</w:t>
            </w:r>
          </w:p>
        </w:tc>
      </w:tr>
      <w:tr>
        <w:trPr>
          <w:trHeight w:val="1121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1003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MINIMALNI STANDARD U SREDNJEM ŠKOLSTVU – MATERIJALNI I FINANCIJSKI RASHODI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116.803,00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75.252,49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64</w:t>
            </w:r>
          </w:p>
        </w:tc>
      </w:tr>
      <w:tr>
        <w:trPr>
          <w:trHeight w:val="1121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Aktivnost A100001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Rashodi poslovanja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60.801,37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30.936,00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50</w:t>
            </w:r>
          </w:p>
        </w:tc>
      </w:tr>
      <w:tr>
        <w:trPr>
          <w:trHeight w:val="1121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Aktivnost A100002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Tekuće i investicijsko održavanje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9.482,00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4.055,61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42</w:t>
            </w:r>
          </w:p>
        </w:tc>
      </w:tr>
      <w:tr>
        <w:trPr>
          <w:trHeight w:val="1121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Aktivnost A100003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Energenti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23.164,50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24.857,00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107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eastAsia="hr-HR"/>
        </w:rPr>
      </w:pPr>
      <w:r>
        <w:rPr>
          <w:rFonts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hr-HR"/>
        </w:rPr>
      </w:pPr>
      <w:r>
        <w:rPr>
          <w:rFonts w:cs="Times New Roman" w:ascii="Times New Roman" w:hAnsi="Times New Roman"/>
          <w:b/>
          <w:sz w:val="24"/>
          <w:szCs w:val="24"/>
          <w:lang w:eastAsia="hr-HR"/>
        </w:rPr>
        <w:t>NAZIV AKTIVNOSTI</w:t>
      </w:r>
    </w:p>
    <w:p>
      <w:pPr>
        <w:pStyle w:val="Normal"/>
        <w:numPr>
          <w:ilvl w:val="0"/>
          <w:numId w:val="12"/>
        </w:numPr>
        <w:suppressAutoHyphens w:val="true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  <w:lang w:eastAsia="hr-HR"/>
        </w:rPr>
        <w:t xml:space="preserve">RASHODI POSLOVANJA – 1003 A100001 </w:t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 xml:space="preserve">Izvršenje 30.06.2024. –30.936,00 EUR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AKTIVNOSTI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liječničke preglede zaposlenika, sredstva za materijal, dijelove i usluge tekuće i investicijskog održavanja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odgoj i obrazovanje učenika srednjih škola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stvoreni uvjeti za realizaciju nastavnog plana i programa u srednjim školama i učeničkom domu kojima je osnivač Zagrebačka županija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0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nema značajnih odstupanja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osigurani materijalni uvjeti za poslovanje škole. Uspješno provedeni predviđeni nastavni programi. Iznimni uspjesi učenika srednjih škola na  lokalnim, županijskim i državnim natjecanjima </w:t>
      </w:r>
    </w:p>
    <w:p>
      <w:pPr>
        <w:pStyle w:val="ListParagraph"/>
        <w:numPr>
          <w:ilvl w:val="0"/>
          <w:numId w:val="13"/>
        </w:numPr>
        <w:suppressAutoHyphens w:val="true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osigurana sredstava za minimalni standard u srednjem školstvu: materijalni troškovi škola, energenti, prijevoz zaposlenika, liječnički pregledi zaposlenika. Osigurana su sredstva za nesmetani odlazak i dolazak  u škole za zaposlenike. Sustavna kontrola zdravlja zaposlenika u srednjim školama. Osigurana sredstva za rad praktikuma u školi čime se stječu vještine izuzetno važne za zvanje za koje se učenici osposobljavaju.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Nastavnu godinu završilo 400 učenika u 17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razredna odjeljenja, liječničke preglede obavilo je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zaposlenika.</w:t>
      </w:r>
    </w:p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Decentralizirana sredstva – SŠ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NAZIV AKTIVNOSTI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i/>
          <w:i/>
          <w:iCs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TEKUĆE INVESTICIJSKO ODRŽAVANJE – MINIMALNI STANDARD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 – 4.055,61 €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AKTIVNOSTI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sredstvima za minimalni financijski standard u srednjem školstvu i učeničkom domu osigurava se nabava materijala, dijelova i usluga tekućeg i investicijskog održavanja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OSTAVRENI CILJEVI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kontinuirano održavanje školskog objekta i opreme 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stvoreni uvjeti za realizaciju nastavnog plana i programa u srednjim školama i učeničkom domu  školama kojima je osnivač  Zagrebačka županija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Nema značajnih odstupanja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osigurano održavanje školskih objekata i opreme 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osigurana sredstva za tekuće i investicijsko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održavanje srednjih škola – redovito održavanje školske opreme, izvršeni svi potrebni servisi i popravci.</w:t>
      </w:r>
    </w:p>
    <w:p>
      <w:pPr>
        <w:pStyle w:val="Normal"/>
        <w:suppressAutoHyphens w:val="true"/>
        <w:spacing w:before="0" w:after="0"/>
        <w:ind w:left="36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Ulaganje u održavanje školskog prostora ( brušenje i lakiranje parketa i sl.).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Decentralizirana sredstva – SŠ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NAZIV AKTIVNOSTI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i/>
          <w:i/>
          <w:iCs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ENERGENTI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 – 24.857,00 €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AKTIVNOSTI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osiguranje sredstva za opće troškove srednjih škola -  trošak energenata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OSTAVRENI CILJEVI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odgoj i obrazovanje učenika srednjih škola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stvoreni uvjeti za realizaciju nastavnog plana i programa u srednjim školama i učeničkom domu kojima je osnivač Zagrebačka županija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NAZIV PROJEKTA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ŽUPANIJSKA STRUČNA VIJEĆA –1001  T100002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PROJEKTA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Omogućavanje funkcioniranja i rada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Stručnih vijeća srednjih škola.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redoviti i nesmetan rad Stručnih vijeća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stalno usavršavanje i obrazovanje prosvjetnih djelatnika za obrazovne i stručne predmete, preko radionica i predavanja izmjena iskustva,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implementacija novostečenih znanja i vještina u redovitu nastavu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razmjena stečenih iskustava i primjena istih u svakodnevnom radu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povezivanje i uska suradnja prosvjetnih djelatnika u osnovnom i srednjem  školstvu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nema značajnih odstupanja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potaknuti novi projekti i aktivnosti, potaknuta suradnja prosvjetnih djelatnika u osnovnom i srednjem školstvu, usavršavanje i obrazovanje prosvjetnih djelatnika.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financiranje rada 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Stručnih vijeća / TZK, Kemija, Matematika/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čije je sjedište na području Zagrebačke županije.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opći prihodi i primici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NAZIV PROJEKTA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NATJECANJA–1001 T100003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 – 783,10 €</w:t>
      </w:r>
    </w:p>
    <w:p>
      <w:pPr>
        <w:pStyle w:val="Normal"/>
        <w:suppressAutoHyphens w:val="true"/>
        <w:ind w:left="360"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  <w:lang w:eastAsia="hr-HR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PROJEKTA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Zadržavanje postojećih standarda u školstvu, poticanje učenika škola na dodatni rad i učenje radi postizanja vrhunskih rezultata na natjecanjima i smotrama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organizacija županijskih natjecanja i smotri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poticanje darovitih učenika kroz sustav natjecanja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razvoj dodatnih znanja i vještina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nema značajnih odstupanja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3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sudjelovanje učenika na županijskoj razini natjecanja - sudjelovanje, logike i filozofije,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financirana je organizacija županijskog  natjecanja iz logike i  filozofije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opći prihodi i primici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NAZIV AKTIVNOSTI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E-TEHNIČAR –  1001 T1000041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</w:r>
    </w:p>
    <w:p>
      <w:pPr>
        <w:pStyle w:val="Normal"/>
        <w:numPr>
          <w:ilvl w:val="1"/>
          <w:numId w:val="12"/>
        </w:numPr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 xml:space="preserve">Izvršenje 30.06.2024. 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AKTIVNOSTI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Carnet je pokrenuo program kojim oprema županijske škole informatičkom opremom, prema ugovoru je Zagrebačka županija dužna sufinancirati rad djelatnika škola za održavanje opreme.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poboljšanje kvalitete izvođenja nastave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opremanje škola sukladno prema Državnom pedagoškom standardu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Nema značajnih odstupanja</w:t>
      </w:r>
    </w:p>
    <w:p>
      <w:pPr>
        <w:pStyle w:val="Normal"/>
        <w:suppressAutoHyphens w:val="true"/>
        <w:spacing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2" w:name="_Hlk109976397"/>
      <w:bookmarkStart w:id="3" w:name="_Hlk109976397"/>
      <w:bookmarkEnd w:id="3"/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poboljšanje kvalitete izvođenja nastave.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sudjelovanje škole u projektu e- tehničar, redovito održavanje informatičke opreme.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Opći prihodi i primici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NAZIV PROJEKTA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i/>
          <w:i/>
          <w:iCs/>
          <w:u w:val="single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PRSTEN POTPORE VI.– 1001 T100055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 – 13.720,78 €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OPIS PROJEKTA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sufinanciranje rada pomoćnika u nastavi i stručnih komunikacijskih posrednika za učenike s teškoćama u razvoju u osnovnim i srednjim školama kojima je osnivač Zagrebačka županija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OSTVARENI CILJEVI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omogućeni jednaki uvjeti školovanja za sve učenike koji pohađaju redovite osnovnoškolske i srednjoškolske odgojno-obrazovne ustanove na području Zagrebačke županije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obrazovanje učenika s teškoćama u razvoju u skladu s njihovim potrebama i mogućnostima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5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povećana realizacija zbog potrebe zapošljavanja većeg broja pomoćnika u nastavi</w:t>
      </w:r>
    </w:p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obrazovanje učenika s teškoćama u skladu s njihovim potrebama i mogućnostima.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učenika s teškoćama u razvoju koji imaju osiguranu potporu pomoćnika u nastavi, zaposleno 2 pomoćnika u nastavi.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IZVOR FINANCIRANJA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opći prihodi i primici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>NAZIV PROGRAMA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b/>
          <w:i/>
          <w:i/>
          <w:color w:val="000000" w:themeColor="text1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KAPITALNO ULAGANJE - 1002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MJERA IZ PLANA RAZVOJA ZAGREBAČKE ŽUPANIJE ZA PERIOD 2021. - 2027.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ab/>
        <w:t>Mjera: 4.3. – Unaprjeđenje odgojno – obrazovnih usluga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>OPIS PROGRAMA</w:t>
      </w:r>
    </w:p>
    <w:p>
      <w:pPr>
        <w:pStyle w:val="Normal"/>
        <w:numPr>
          <w:ilvl w:val="0"/>
          <w:numId w:val="16"/>
        </w:numPr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Financiranje i sufinanciranje izgradnje, dogradnje i rekonstrukciju školskog prostora prema propisanim standardima i normativima, a u skladu s državnim pedagoškim standardom.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>OPĆI CILJ</w:t>
      </w:r>
    </w:p>
    <w:p>
      <w:pPr>
        <w:pStyle w:val="Normal"/>
        <w:numPr>
          <w:ilvl w:val="0"/>
          <w:numId w:val="16"/>
        </w:numPr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Stvaranje jednakih uvjeta školovanja na području cijele Zagrebačke županije koji zadovoljavaju Državni pedagoški standard osnovnoškolskog sustava odgoja i obrazovanja.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>POSEBNI CILJEVI</w:t>
      </w:r>
    </w:p>
    <w:p>
      <w:pPr>
        <w:pStyle w:val="Normal"/>
        <w:numPr>
          <w:ilvl w:val="0"/>
          <w:numId w:val="16"/>
        </w:numPr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Sufinanciranje gradnje, dogradnje i rekonstrukcije škola prema Državnom pedagoškom standardu.</w:t>
      </w:r>
    </w:p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NAZIV PROJEKTA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  <w:t>KNJIGE ZA ŠKOLSKU KNJIŽNICU - 1002 T10001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</w:r>
    </w:p>
    <w:p>
      <w:pPr>
        <w:pStyle w:val="ListParagraph"/>
        <w:numPr>
          <w:ilvl w:val="0"/>
          <w:numId w:val="16"/>
        </w:numPr>
        <w:suppressAutoHyphens w:val="true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 – 900,00 €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PROJEKTA</w:t>
      </w:r>
    </w:p>
    <w:p>
      <w:pPr>
        <w:pStyle w:val="Normal"/>
        <w:numPr>
          <w:ilvl w:val="0"/>
          <w:numId w:val="16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financiranje troškova nabave knjižnične građe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numPr>
          <w:ilvl w:val="0"/>
          <w:numId w:val="16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poboljšanje kvalitete obrazovanja učenika i opremanje školske knjižnice novim lektirnim  naslovima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nema značajnih odstupanja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8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poboljšanje kvalitete izvođenja nastave</w:t>
      </w:r>
    </w:p>
    <w:p>
      <w:pPr>
        <w:pStyle w:val="Normal"/>
        <w:numPr>
          <w:ilvl w:val="0"/>
          <w:numId w:val="18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ulaganja u nabavu nove knjižnične građe sukladno pedagoškom standardu i potrebama škola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6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Opći prihodi i primici</w:t>
      </w:r>
    </w:p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NAZIV PROGRAMA</w:t>
      </w:r>
    </w:p>
    <w:p>
      <w:pPr>
        <w:pStyle w:val="Normal"/>
        <w:numPr>
          <w:ilvl w:val="0"/>
          <w:numId w:val="20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 xml:space="preserve">PROGRAMI SREDNJIH ŠKOLA IZVAN ŽUPANIJSKOG PRORAČUNA - 1001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MJERA IZ PLANA RAZVOJA ZAGREBAČKE ŽUPANIJE ZA PERIOD 2021. -2027.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Mjera: 4.3. – Unaprjeđenje odgojno – obrazovnih usluga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tbl>
      <w:tblPr>
        <w:tblW w:w="914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3"/>
        <w:gridCol w:w="3004"/>
        <w:gridCol w:w="1551"/>
        <w:gridCol w:w="1616"/>
        <w:gridCol w:w="1508"/>
      </w:tblGrid>
      <w:tr>
        <w:trPr/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OZNAKA PROGRAMA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NAZIV PROGRAMA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Financijski plan 2024.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Izvršenje 1.1.-30.06.2024.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Indeks</w:t>
            </w:r>
          </w:p>
        </w:tc>
      </w:tr>
      <w:tr>
        <w:trPr/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1001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PROGRAMI SREDNJIH ŠKOLA IZVAN ŽUPANIJSKOG PRORAČUNA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1.148.097,11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721.889,01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62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PROGRAMA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Ovim programom se financiraju rashodi nužni za realizaciju obrazovnog program koji se financiraju iz vlastitih prihoda, pomoći, prihoda za posebne namjene i donacija,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vijeća, natjecanja, opremu škole, tekuće i investicijsko održavanje, EU projekte.</w:t>
      </w:r>
    </w:p>
    <w:p>
      <w:pPr>
        <w:pStyle w:val="Normal"/>
        <w:spacing w:before="0" w:after="0"/>
        <w:jc w:val="both"/>
        <w:rPr>
          <w:bCs/>
        </w:rPr>
      </w:pPr>
      <w:r>
        <w:rPr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odgoj i obrazovanje učenika srednjih škola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stvaranje jednakih uvjeta školovanja na području cijele Zagrebačke županije koji zadovoljavaju Državni pedagoški standard srednjoškolskog sustava odgoja i obrazovanja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hr-HR"/>
        </w:rPr>
      </w:pPr>
      <w:r>
        <w:rPr>
          <w:rFonts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hr-HR"/>
        </w:rPr>
      </w:pPr>
      <w:r>
        <w:rPr>
          <w:rFonts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NAZIV AKTIVNOSTI 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i/>
          <w:i/>
          <w:iCs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RASHODI POSLOVANJA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A100001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FF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color w:val="FF0000"/>
          <w:sz w:val="24"/>
          <w:szCs w:val="24"/>
          <w:u w:val="single"/>
        </w:rPr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 – 27.361,44 €</w:t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30.06.2024.-     4.564,38 €</w:t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30.06.2024.-     3.680,12 €</w:t>
      </w:r>
    </w:p>
    <w:p>
      <w:pPr>
        <w:pStyle w:val="Normal"/>
        <w:suppressAutoHyphens w:val="true"/>
        <w:ind w:left="360"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  <w:lang w:eastAsia="hr-HR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AKTIVNOSTI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Ovom aktivnošću se financiraju rashodi nužni za realizaciju nastavnog plana i programa, osiguravaju se sredstva za opće troškove srednjih škola, trošak energenata i ostalo.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odgoj i obrazovanje učenika srednjih škola</w:t>
      </w:r>
    </w:p>
    <w:p>
      <w:pPr>
        <w:pStyle w:val="Normal"/>
        <w:numPr>
          <w:ilvl w:val="0"/>
          <w:numId w:val="19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stvoreni uvjeti za realizaciju nastavnog plana i programa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ind w:left="72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kontinuirano usavršavanje nastavnika (seminari, stručni skupovi, aktivi) i podizanje nastavnog standarda na višu razinu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poticanje učenika na izražavanje kreativnosti, talenata i sposobnosti kroz uključivanje u slobodne aktivnosti, natjecanja te druge školske projekte, priredbe i manifestacije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povećana realizacija zbog općeg rasta cijena što je utjecalo na povećanje troškova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uspješno provedeni predviđeni nastavni programi. Osigurani materijalni uvjeti za poslovanje škole. Osigurane knjige i informatička oprema za učenika smjera tehničar za logistiku i špediciju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osigurana sredstava za provedbu nastavnog plana i programa: materijalni trošak škole, energenti. Školu pohađa 400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učenik u 17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razrednih odjeljenja.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vlastiti prihodi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prihodi za posebne namjene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pomoći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donacije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NAZIV AKTIVNOSTI 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i/>
          <w:i/>
          <w:iCs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ADMINISTRATIVNO, TEHNIČKO I STRUČNO OSOBLJE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A100002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 xml:space="preserve">Izvršenje 30.06.2024. – 655.909,95 € </w:t>
      </w:r>
    </w:p>
    <w:p>
      <w:pPr>
        <w:pStyle w:val="Normal"/>
        <w:spacing w:before="0" w:after="0"/>
        <w:jc w:val="both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tabs>
          <w:tab w:val="clear" w:pos="708"/>
          <w:tab w:val="left" w:pos="5340" w:leader="none"/>
        </w:tabs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AKTIVNOSTI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Ovom aktivnošću se financiraju plaće zaposlenika, doprinosi za zdravstveno i ostali rashodi za zaposlene.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Učinkovita odgojno obrazovna ustanova. Efikasna i pravovremena provedba nastavnog programa.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Obnašanje poslova i zadaća propisanih Statutom Srednje škole Jastrebarsko.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osigurana brza i učinkovita podrška učenicima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implementirani i razvijeni programi koji učenicima pomažu pri razvoju dodatnih vještina i znanja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osigurani organizacijski, materijalni, tehnički i drugi uvjeti za redovan rad škole</w:t>
      </w:r>
    </w:p>
    <w:p>
      <w:pPr>
        <w:pStyle w:val="Normal"/>
        <w:suppressAutoHyphens w:val="true"/>
        <w:spacing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povećanje osnovice za obračun plaće u javnim službama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osigurano kvalitetno obrazovanje škole, te sve popratne aktivnosti koje su nužne kao podrška obrazovnom sustavu, a koje su u nadležnosti škole.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uspješno izvršenje zadaća iz djelokruga škole.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Pomoći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NAZIV TEKUĆEG PROJEKTA 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i/>
          <w:i/>
          <w:iCs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ŽUPANIJSKA STRUČNA VIJEĆA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T100002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30.06.2024.- 422,62 €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AKTIVNOSTI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omogućavanje funkcioniranja i rada Stručnih vijeća srednjih škola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redoviti i nesmetan rad Stručnih vijeća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usavršavanje i obrazovanje prosvjetnih djelatnika za obrazovne i stručne predmete, preko radionica i predavanja izmjena iskustva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implementacija novostečenih znanja i vještina u redovitu nastavu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razmjena stečenih iskustava i primjena istih u svakodnevnom radu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povezivanje i uska suradnja prosvjetnih djelatnika u osnovnom i srednjem  školstvu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zadržavanje postojećih standarda u školstvu, poticanje novih projekata i aktivnosti, te osiguranje uvjeta za unaprjeđenje kvalitete života djece i mladeži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nema značajnih odstupanja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potaknuti novi projekti i aktivnosti, potaknuta suradnja prosvjetnih djelatnika, usavršavanje i obrazovanje prosvjetnih djelatnika.</w:t>
      </w:r>
    </w:p>
    <w:p>
      <w:pPr>
        <w:pStyle w:val="Normal"/>
        <w:numPr>
          <w:ilvl w:val="0"/>
          <w:numId w:val="11"/>
        </w:numPr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financiranje rada 3 Stručnih vijeća /TZK , Kemija i Matematika/.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pomoći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NAZIV TEKUĆEG PROJEKTA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i/>
          <w:i/>
          <w:iCs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PROGRAM ERASMUS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 1001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T100018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1"/>
          <w:numId w:val="12"/>
        </w:numPr>
        <w:suppressAutoHyphens w:val="true"/>
        <w:ind w:left="720" w:hanging="36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 – 29.066,22 €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AKTIVNOSTI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program kojim se podupire obrazovanje, osposobljavanje, mobilnost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</w:rPr>
        <w:t>obrazovni, profesionalni i osobni razvoj ljudi u području obrazovanja, osposobljavanja, što pridonosi održivom rastu, kvaliteti radnih mjesta,  poticanju inovacija te jačanju europskih identiteta i aktivnog građanstva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promicanje mobilnosti u svrhu učenja academy platformi, jezična priprema za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pojedince i skupine te suradnju, kvalitetu, uključivost i pravednost, izvrsnost,   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kreativnost i inovativnost na razini organizacija u području obrazovanja 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i osposobljavanja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promicanje mobilnosti u svrhu neformalnog i informalnog učenja, aktivno sudjelovanje mladih te suradnja, kvaliteta, uključivost, kreativnost i inovativnost na razini organizacija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promicanje mobilnosti u svrhu učenja za kvalitetu, uključivost, kreativnost i inovativnost na razini sportskih organizacija i politika u području sporta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povećana realizacija zbog većeg broja odrađenih mobilnosti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poticanje novih projekata i aktivnosti, potaknuta međunarodna suradnja.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aktivna 1 Erasmus projekta, odrađena mobilnost učenika i nastavnika u za projekat Erasmus + ekonomisti u  Portugalu, učenici su sudjelovali na dvotjednoj stručnoj praksi </w:t>
      </w:r>
    </w:p>
    <w:p>
      <w:pPr>
        <w:pStyle w:val="Normal"/>
        <w:suppressAutoHyphens w:val="true"/>
        <w:spacing w:before="0" w:after="0"/>
        <w:ind w:left="360" w:hanging="0"/>
        <w:jc w:val="both"/>
        <w:rPr/>
      </w:pPr>
      <w:r>
        <w:rPr/>
      </w:r>
    </w:p>
    <w:p>
      <w:pPr>
        <w:pStyle w:val="Normal"/>
        <w:suppressAutoHyphens w:val="true"/>
        <w:spacing w:before="0" w:after="0"/>
        <w:ind w:left="360" w:hanging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EU Pomoći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NAZIV TEKUĆEG PROJEKTA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i/>
          <w:i/>
          <w:iCs/>
          <w:u w:val="single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 xml:space="preserve">REGIONALNI CENTAR KOMPETENTNOSTI U STRUKOVNOM OBRAZOVANJU U STROJARSTVU- INDUSTRIJA 4.0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1001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</w:rPr>
        <w:t>T100021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ListParagraph"/>
        <w:numPr>
          <w:ilvl w:val="0"/>
          <w:numId w:val="11"/>
        </w:numPr>
        <w:suppressAutoHyphens w:val="true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eastAsia="hr-HR"/>
        </w:rPr>
      </w:pPr>
      <w:r>
        <w:rPr>
          <w:rFonts w:cs="Times New Roman" w:ascii="Times New Roman" w:hAnsi="Times New Roman"/>
          <w:iCs/>
          <w:sz w:val="24"/>
          <w:szCs w:val="24"/>
          <w:lang w:eastAsia="hr-HR"/>
        </w:rPr>
        <w:t>Izvršenje 30.06.2024. – 884,28 €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OPIS AKTIVNOSTI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Regionalni centar kompetentnosti u strukovnom obrazovanju u strojarstvu –Industrija 4.0 je integralni projekt kojeg kao prijavitelj provodi Srednja strukovna škola Velika Gorica, a koji se financira iz različitih izvora.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Radi se o dva projekta, od kojih je jedan vezan uz uspostavu infrastrukture Regionalnog centra kompetentnosti kroz izgradnju triju centara izvrsnosti u sektoru strojarstva na tri lokacije, dok je drugi projekt vezan uz razvoj ljudskih potencijala kroz brojna stručna usavršavanja odgojno-obrazovnih djelatnika, modernizaciju i izradu obrazovnih srednjoškolskih programa i programa obrazovanja odraslih.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OSTVARENI CILJEVI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2"/>
        </w:numPr>
        <w:suppressAutoHyphens w:val="true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uspostava Regionalnog centara kompetentnosti u strukovnom obrazovanju u strojarstvu – Industrija 4.0 povezanog sa tržištem rada, koji će sa svojom opremljenošću i stručnim kadrovima kao nositelj kvalitetnog strukovnog obrazovanja i osposobljavanja omogućiti učenje temeljeno na radu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promicanje mobilnosti u svrhu učenja za pojedince i skupine te suradnju, kvalitetu, uključivost i pravednost, izvrsnost, kreativnost i inovativnost na razini organizacija i politika u području obrazovanja i osposobljavanja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promicanje mobilnosti u svrhu neformalnog i informalnog učenja, aktivno sudjelovanje mladih te suradnju, kvalitetu, uključivost, kreativnost i inovativnost na razini organizacija i politika u području mladih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RAZLOZI ODSTUPANJA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nema značajnih odstupanja 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POKAZATELJI USPJEŠNOSTI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 učinka: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poticanje novih projekata i aktivnosti, stručna usavršavanja nastavnika, razvoj novih metoda podučavanja i izrada obrazovnih programa.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true"/>
        <w:spacing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Pokazatelji rezultata: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5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zaposlenih aktivno sudjelovalo u provođenju aktivnosti projekta, održane radionice, stručna usavršavanja i studijska putovanja.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IZVOR FINANCIRANJA</w:t>
      </w:r>
    </w:p>
    <w:p>
      <w:pPr>
        <w:pStyle w:val="Normal"/>
        <w:numPr>
          <w:ilvl w:val="0"/>
          <w:numId w:val="14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EU pomoći</w:t>
      </w:r>
    </w:p>
    <w:p>
      <w:pPr>
        <w:pStyle w:val="ListParagraph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      </w:t>
      </w:r>
      <w:r>
        <w:rPr/>
        <w:t>Jastrebarsko, 10.7.2024.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</w:t>
      </w:r>
      <w:r>
        <w:rPr/>
        <w:t xml:space="preserve">Sastavila obrazloženje izvršenja   </w:t>
      </w:r>
    </w:p>
    <w:p>
      <w:pPr>
        <w:pStyle w:val="Normal"/>
        <w:rPr/>
      </w:pPr>
      <w:r>
        <w:rPr/>
        <w:t xml:space="preserve">                                                                                     </w:t>
      </w:r>
      <w:r>
        <w:rPr/>
        <w:t xml:space="preserve">i osoba za kontaktiranje: </w:t>
      </w:r>
    </w:p>
    <w:p>
      <w:pPr>
        <w:pStyle w:val="Normal"/>
        <w:rPr/>
      </w:pPr>
      <w:r>
        <w:rPr/>
        <w:t xml:space="preserve">                                                                                          </w:t>
      </w:r>
      <w:r>
        <w:rPr/>
        <w:t xml:space="preserve">Davorka Franetić  </w:t>
      </w:r>
    </w:p>
    <w:p>
      <w:pPr>
        <w:pStyle w:val="Normal"/>
        <w:rPr/>
      </w:pPr>
      <w:r>
        <w:rPr/>
        <w:t xml:space="preserve">                                                                                           </w:t>
      </w:r>
      <w:r>
        <w:rPr/>
        <w:t>Telef.01/6281484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</w:t>
      </w:r>
      <w:r>
        <w:rPr/>
        <w:t xml:space="preserve">Zakonski predstavnik:                                                                    </w:t>
      </w:r>
    </w:p>
    <w:p>
      <w:pPr>
        <w:pStyle w:val="Normal"/>
        <w:ind w:firstLine="708"/>
        <w:rPr/>
      </w:pPr>
      <w:r>
        <w:rPr/>
        <w:t xml:space="preserve">                                                                         </w:t>
      </w:r>
      <w:r>
        <w:rPr/>
        <w:t>Sonja Stipanović, mag.oec</w:t>
      </w:r>
    </w:p>
    <w:p>
      <w:pPr>
        <w:pStyle w:val="Normal"/>
        <w:rPr/>
      </w:pPr>
      <w:r>
        <w:rPr/>
      </w:r>
    </w:p>
    <w:p>
      <w:pPr>
        <w:pStyle w:val="Normal"/>
        <w:ind w:left="993" w:hanging="993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uiPriority w:val="99"/>
    <w:unhideWhenUsed/>
    <w:rsid w:val="003d704b"/>
    <w:rPr>
      <w:color w:val="0000FF"/>
      <w:u w:val="single"/>
    </w:rPr>
  </w:style>
  <w:style w:type="character" w:styleId="NaslovChar" w:customStyle="1">
    <w:name w:val="Naslov Char"/>
    <w:basedOn w:val="DefaultParagraphFont"/>
    <w:link w:val="Naslov"/>
    <w:qFormat/>
    <w:rsid w:val="00823a2d"/>
    <w:rPr>
      <w:rFonts w:ascii="Times New Roman" w:hAnsi="Times New Roman" w:eastAsia="Times New Roman" w:cs="Times New Roman"/>
      <w:b/>
      <w:bCs/>
      <w:sz w:val="28"/>
      <w:szCs w:val="24"/>
      <w:lang w:eastAsia="hr-HR"/>
    </w:rPr>
  </w:style>
  <w:style w:type="character" w:styleId="ListLabel1">
    <w:name w:val="ListLabel 1"/>
    <w:qFormat/>
    <w:rPr>
      <w:rFonts w:eastAsia="Times New Roman" w:cs="Times New Roman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ascii="Times New Roman" w:hAnsi="Times New Roman" w:cs="Wingdings"/>
      <w:b/>
      <w:sz w:val="24"/>
    </w:rPr>
  </w:style>
  <w:style w:type="character" w:styleId="ListLabel11">
    <w:name w:val="ListLabel 11"/>
    <w:qFormat/>
    <w:rPr>
      <w:rFonts w:ascii="Times New Roman" w:hAnsi="Times New Roman" w:cs="Symbol"/>
      <w:b/>
      <w:sz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ascii="Times New Roman" w:hAnsi="Times New Roman" w:cs="Symbol"/>
      <w:sz w:val="24"/>
    </w:rPr>
  </w:style>
  <w:style w:type="character" w:styleId="ListLabel43">
    <w:name w:val="ListLabel 43"/>
    <w:qFormat/>
    <w:rPr>
      <w:rFonts w:ascii="Times New Roman" w:hAnsi="Times New Roman" w:cs="Symbol"/>
      <w:b/>
      <w:sz w:val="24"/>
    </w:rPr>
  </w:style>
  <w:style w:type="character" w:styleId="ListLabel44">
    <w:name w:val="ListLabel 44"/>
    <w:qFormat/>
    <w:rPr>
      <w:rFonts w:ascii="Times New Roman" w:hAnsi="Times New Roman" w:cs="Symbol"/>
      <w:b/>
      <w:sz w:val="24"/>
    </w:rPr>
  </w:style>
  <w:style w:type="character" w:styleId="ListLabel45">
    <w:name w:val="ListLabel 45"/>
    <w:qFormat/>
    <w:rPr>
      <w:rFonts w:ascii="Times New Roman" w:hAnsi="Times New Roman" w:cs="Symbol"/>
      <w:sz w:val="24"/>
    </w:rPr>
  </w:style>
  <w:style w:type="character" w:styleId="ListLabel46">
    <w:name w:val="ListLabel 46"/>
    <w:qFormat/>
    <w:rPr>
      <w:rFonts w:ascii="Times New Roman" w:hAnsi="Times New Roman" w:cs="Symbol"/>
      <w:b/>
      <w:sz w:val="24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ascii="Times New Roman" w:hAnsi="Times New Roman" w:cs="Symbol"/>
      <w:sz w:val="24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b/>
    </w:rPr>
  </w:style>
  <w:style w:type="character" w:styleId="ListLabel68">
    <w:name w:val="ListLabel 68"/>
    <w:qFormat/>
    <w:rPr/>
  </w:style>
  <w:style w:type="character" w:styleId="ListLabel69">
    <w:name w:val="ListLabel 69"/>
    <w:qFormat/>
    <w:rPr>
      <w:rFonts w:ascii="Times New Roman" w:hAnsi="Times New Roman"/>
      <w:bCs/>
      <w:i/>
      <w:color w:val="000000"/>
      <w:shd w:fill="FFFFFF" w:val="clear"/>
    </w:rPr>
  </w:style>
  <w:style w:type="character" w:styleId="ListLabel70">
    <w:name w:val="ListLabel 70"/>
    <w:qFormat/>
    <w:rPr>
      <w:rFonts w:ascii="Times New Roman" w:hAnsi="Times New Roman"/>
      <w:i/>
      <w:color w:val="000000"/>
      <w:shd w:fill="FFFFFF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e479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zh-CN" w:val="hr-HR" w:bidi="ar-SA"/>
    </w:rPr>
  </w:style>
  <w:style w:type="paragraph" w:styleId="ListParagraph">
    <w:name w:val="List Paragraph"/>
    <w:basedOn w:val="Normal"/>
    <w:qFormat/>
    <w:rsid w:val="00fe4795"/>
    <w:pPr>
      <w:spacing w:before="0" w:after="200"/>
      <w:ind w:left="720" w:hanging="0"/>
      <w:contextualSpacing/>
    </w:pPr>
    <w:rPr/>
  </w:style>
  <w:style w:type="paragraph" w:styleId="Naslov">
    <w:name w:val="Title"/>
    <w:basedOn w:val="Normal"/>
    <w:link w:val="NaslovChar"/>
    <w:qFormat/>
    <w:rsid w:val="00823a2d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rednja-skola-jastrebarsko@zg.htnet.hr" TargetMode="External"/><Relationship Id="rId3" Type="http://schemas.openxmlformats.org/officeDocument/2006/relationships/hyperlink" Target="http://www.zakon.hr/cms.htm?id=66" TargetMode="External"/><Relationship Id="rId4" Type="http://schemas.openxmlformats.org/officeDocument/2006/relationships/hyperlink" Target="http://www.zakon.hr/cms.htm?id=67" TargetMode="External"/><Relationship Id="rId5" Type="http://schemas.openxmlformats.org/officeDocument/2006/relationships/hyperlink" Target="http://www.zakon.hr/cms.htm?id=68" TargetMode="External"/><Relationship Id="rId6" Type="http://schemas.openxmlformats.org/officeDocument/2006/relationships/hyperlink" Target="http://www.zakon.hr/cms.htm?id=69" TargetMode="External"/><Relationship Id="rId7" Type="http://schemas.openxmlformats.org/officeDocument/2006/relationships/hyperlink" Target="http://www.zakon.hr/cms.htm?id=70" TargetMode="External"/><Relationship Id="rId8" Type="http://schemas.openxmlformats.org/officeDocument/2006/relationships/hyperlink" Target="http://www.zakon.hr/cms.htm?id=71" TargetMode="External"/><Relationship Id="rId9" Type="http://schemas.openxmlformats.org/officeDocument/2006/relationships/hyperlink" Target="http://www.zakon.hr/cms.htm?id=72" TargetMode="External"/><Relationship Id="rId10" Type="http://schemas.openxmlformats.org/officeDocument/2006/relationships/hyperlink" Target="http://www.zakon.hr/cms.htm?id=73" TargetMode="External"/><Relationship Id="rId11" Type="http://schemas.openxmlformats.org/officeDocument/2006/relationships/hyperlink" Target="http://www.zakon.hr/cms.htm?id=182" TargetMode="External"/><Relationship Id="rId12" Type="http://schemas.openxmlformats.org/officeDocument/2006/relationships/hyperlink" Target="http://www.zakon.hr/cms.htm?id=480" TargetMode="External"/><Relationship Id="rId13" Type="http://schemas.openxmlformats.org/officeDocument/2006/relationships/hyperlink" Target="http://www.zakon.hr/cms.htm?id=1671" TargetMode="External"/><Relationship Id="rId14" Type="http://schemas.openxmlformats.org/officeDocument/2006/relationships/hyperlink" Target="http://www.zakon.hr/cms.htm?id=17751" TargetMode="External"/><Relationship Id="rId15" Type="http://schemas.openxmlformats.org/officeDocument/2006/relationships/hyperlink" Target="http://www.zakon.hr/cms.htm?id=210" TargetMode="External"/><Relationship Id="rId16" Type="http://schemas.openxmlformats.org/officeDocument/2006/relationships/hyperlink" Target="http://www.zakon.hr/cms.htm?id=211" TargetMode="External"/><Relationship Id="rId17" Type="http://schemas.openxmlformats.org/officeDocument/2006/relationships/hyperlink" Target="http://www.zakon.hr/cms.htm?id=4582" TargetMode="External"/><Relationship Id="rId18" Type="http://schemas.openxmlformats.org/officeDocument/2006/relationships/hyperlink" Target="http://narodne-novine.nn.hr/clanci/sluzbeni/full/2014_10_124_2374.html" TargetMode="External"/><Relationship Id="rId19" Type="http://schemas.openxmlformats.org/officeDocument/2006/relationships/hyperlink" Target="http://narodne-novine.nn.hr/clanci/sluzbeni/full/2015_10_115_2198.html" TargetMode="External"/><Relationship Id="rId20" Type="http://schemas.openxmlformats.org/officeDocument/2006/relationships/hyperlink" Target="http://narodne-novine.nn.hr/clanci/sluzbeni/full/2016_09_87_1886.html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0F46-CCD1-4220-B136-C87AF02A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LibreOffice/6.2.5.2$Windows_X86_64 LibreOffice_project/1ec314fa52f458adc18c4f025c545a4e8b22c159</Application>
  <Pages>21</Pages>
  <Words>3553</Words>
  <Characters>23419</Characters>
  <CharactersWithSpaces>27503</CharactersWithSpaces>
  <Paragraphs>483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2024-07-25T05:53:00Z</dcterms:created>
  <dc:creator>Davorka</dc:creator>
  <dc:description/>
  <dc:language>hr-HR</dc:language>
  <cp:lastModifiedBy/>
  <cp:lastPrinted>2024-03-27T10:28:00Z</cp:lastPrinted>
  <dcterms:modified xsi:type="dcterms:W3CDTF">2024-07-26T12:28:26Z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